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DC75F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附件2：</w:t>
      </w:r>
    </w:p>
    <w:p w14:paraId="0D4D76AE">
      <w:pPr>
        <w:spacing w:line="560" w:lineRule="exact"/>
        <w:jc w:val="center"/>
        <w:rPr>
          <w:rFonts w:ascii="Times New Roman" w:hAnsi="Times New Roman" w:eastAsia="仿宋_GB2312"/>
          <w:color w:val="FF0000"/>
          <w:sz w:val="28"/>
          <w:szCs w:val="28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河南农业大学</w:t>
      </w:r>
      <w:r>
        <w:rPr>
          <w:rFonts w:ascii="Times New Roman" w:hAnsi="Times New Roman" w:eastAsia="方正小标宋简体"/>
          <w:sz w:val="44"/>
          <w:szCs w:val="44"/>
        </w:rPr>
        <w:t>2027年</w:t>
      </w:r>
      <w:r>
        <w:rPr>
          <w:rFonts w:hint="eastAsia" w:ascii="Times New Roman" w:hAnsi="Times New Roman" w:eastAsia="方正小标宋简体"/>
          <w:sz w:val="44"/>
          <w:szCs w:val="44"/>
        </w:rPr>
        <w:t>硕士研究生招生自命题科目考试大纲</w:t>
      </w:r>
    </w:p>
    <w:p w14:paraId="6FCE9D0B">
      <w:pPr>
        <w:spacing w:line="560" w:lineRule="exact"/>
        <w:jc w:val="left"/>
        <w:rPr>
          <w:rFonts w:ascii="Times New Roman" w:hAnsi="Times New Roman" w:eastAsia="黑体"/>
          <w:sz w:val="40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</w:rPr>
        <w:t>一、</w:t>
      </w:r>
      <w:r>
        <w:rPr>
          <w:rFonts w:ascii="Times New Roman" w:hAnsi="Times New Roman" w:eastAsia="黑体"/>
          <w:color w:val="000000"/>
          <w:sz w:val="28"/>
          <w:szCs w:val="28"/>
        </w:rPr>
        <w:t>考试基本信息</w:t>
      </w:r>
    </w:p>
    <w:p w14:paraId="646B92CC">
      <w:pPr>
        <w:widowControl/>
        <w:numPr>
          <w:ilvl w:val="0"/>
          <w:numId w:val="1"/>
        </w:numPr>
        <w:spacing w:before="93" w:beforeLines="30" w:line="360" w:lineRule="auto"/>
        <w:ind w:left="0" w:firstLine="482" w:firstLineChars="200"/>
        <w:jc w:val="left"/>
        <w:rPr>
          <w:rFonts w:ascii="Times New Roman" w:hAnsi="Times New Roman" w:eastAsia="仿宋_GB2312"/>
          <w:b/>
          <w:bCs/>
          <w:color w:val="000000"/>
          <w:sz w:val="24"/>
          <w:szCs w:val="24"/>
        </w:rPr>
      </w:pPr>
      <w:r>
        <w:rPr>
          <w:rStyle w:val="6"/>
          <w:rFonts w:ascii="Times New Roman" w:hAnsi="Times New Roman" w:eastAsia="仿宋_GB2312"/>
          <w:color w:val="000000"/>
          <w:sz w:val="24"/>
          <w:szCs w:val="24"/>
        </w:rPr>
        <w:t>科目代码</w:t>
      </w:r>
      <w:r>
        <w:rPr>
          <w:rFonts w:ascii="Times New Roman" w:hAnsi="Times New Roman" w:eastAsia="仿宋_GB2312"/>
          <w:b/>
          <w:bCs/>
          <w:color w:val="000000"/>
          <w:sz w:val="24"/>
          <w:szCs w:val="24"/>
        </w:rPr>
        <w:t>：</w:t>
      </w:r>
      <w:r>
        <w:rPr>
          <w:rFonts w:hint="eastAsia" w:ascii="Times New Roman" w:hAnsi="Times New Roman" w:eastAsia="仿宋_GB2312"/>
          <w:b/>
          <w:bCs/>
          <w:color w:val="000000"/>
          <w:sz w:val="24"/>
          <w:szCs w:val="24"/>
        </w:rPr>
        <w:t>8</w:t>
      </w:r>
      <w:r>
        <w:rPr>
          <w:rFonts w:hint="eastAsia" w:ascii="Times New Roman" w:hAnsi="Times New Roman" w:eastAsia="仿宋_GB2312"/>
          <w:b/>
          <w:bCs/>
          <w:color w:val="000000"/>
          <w:sz w:val="24"/>
          <w:szCs w:val="24"/>
          <w:lang w:val="en-US" w:eastAsia="zh-CN"/>
        </w:rPr>
        <w:t>10</w:t>
      </w:r>
    </w:p>
    <w:p w14:paraId="0DEB9A38">
      <w:pPr>
        <w:widowControl/>
        <w:numPr>
          <w:ilvl w:val="0"/>
          <w:numId w:val="1"/>
        </w:numPr>
        <w:spacing w:before="93" w:beforeLines="30" w:line="360" w:lineRule="auto"/>
        <w:ind w:left="0" w:firstLine="482" w:firstLineChars="200"/>
        <w:jc w:val="left"/>
        <w:rPr>
          <w:rFonts w:ascii="Times New Roman" w:hAnsi="Times New Roman" w:eastAsia="仿宋_GB2312"/>
          <w:b/>
          <w:bCs/>
          <w:color w:val="000000"/>
          <w:sz w:val="24"/>
          <w:szCs w:val="24"/>
        </w:rPr>
      </w:pPr>
      <w:r>
        <w:rPr>
          <w:rStyle w:val="6"/>
          <w:rFonts w:ascii="Times New Roman" w:hAnsi="Times New Roman" w:eastAsia="仿宋_GB2312"/>
          <w:color w:val="000000"/>
          <w:sz w:val="24"/>
          <w:szCs w:val="24"/>
        </w:rPr>
        <w:t>科目名称</w:t>
      </w:r>
      <w:r>
        <w:rPr>
          <w:rFonts w:ascii="Times New Roman" w:hAnsi="Times New Roman" w:eastAsia="仿宋_GB2312"/>
          <w:b/>
          <w:bCs/>
          <w:color w:val="000000"/>
          <w:sz w:val="24"/>
          <w:szCs w:val="24"/>
        </w:rPr>
        <w:t>：</w:t>
      </w:r>
      <w:r>
        <w:rPr>
          <w:rFonts w:hint="eastAsia" w:ascii="Times New Roman" w:hAnsi="Times New Roman" w:eastAsia="仿宋_GB2312"/>
          <w:b/>
          <w:bCs/>
          <w:color w:val="000000"/>
          <w:sz w:val="24"/>
          <w:szCs w:val="24"/>
        </w:rPr>
        <w:t>信号与系统</w:t>
      </w:r>
    </w:p>
    <w:p w14:paraId="41E136EE">
      <w:pPr>
        <w:widowControl/>
        <w:numPr>
          <w:ilvl w:val="0"/>
          <w:numId w:val="1"/>
        </w:numPr>
        <w:spacing w:before="93" w:beforeLines="30" w:line="360" w:lineRule="auto"/>
        <w:ind w:left="0" w:firstLine="482" w:firstLineChars="200"/>
        <w:jc w:val="left"/>
        <w:rPr>
          <w:rFonts w:hint="eastAsia" w:ascii="Times New Roman" w:hAnsi="Times New Roman" w:eastAsia="仿宋_GB2312"/>
          <w:b/>
          <w:bCs/>
          <w:color w:val="000000"/>
          <w:sz w:val="24"/>
          <w:szCs w:val="24"/>
        </w:rPr>
      </w:pPr>
      <w:r>
        <w:rPr>
          <w:rStyle w:val="6"/>
          <w:rFonts w:hint="eastAsia" w:ascii="Times New Roman" w:hAnsi="Times New Roman" w:eastAsia="仿宋_GB2312"/>
          <w:color w:val="000000"/>
          <w:sz w:val="24"/>
          <w:szCs w:val="24"/>
        </w:rPr>
        <w:t>考试目的</w:t>
      </w:r>
      <w:r>
        <w:rPr>
          <w:rFonts w:ascii="Times New Roman" w:hAnsi="Times New Roman" w:eastAsia="仿宋_GB2312"/>
          <w:b/>
          <w:bCs/>
          <w:color w:val="000000"/>
          <w:sz w:val="24"/>
          <w:szCs w:val="24"/>
        </w:rPr>
        <w:t>：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重点考查考生对信号与系统、数字通信原理、电路与电子线路、数字信号处理、嵌入式系统架构、信息论与编码等核心知识的理解程度，检验考生基本理论、分析方法和工程设计的掌握深度与广度。考核考生运用专业知识解决电子信息领域实际工程问题的能力，评价是否具备攻读硕士学位所需的专业基础、逻辑思维与工程创新能力，为信号处理、通信与网络、电路与系统、嵌入式应用等方向选拔具备科研潜力的研究生，评价标准参照本科优秀毕业生应达到的专业水平。</w:t>
      </w:r>
    </w:p>
    <w:p w14:paraId="5635C2BF">
      <w:pPr>
        <w:pStyle w:val="9"/>
        <w:numPr>
          <w:ilvl w:val="0"/>
          <w:numId w:val="2"/>
        </w:numPr>
        <w:spacing w:line="560" w:lineRule="exact"/>
        <w:ind w:firstLineChars="0"/>
        <w:jc w:val="left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ascii="Times New Roman" w:hAnsi="Times New Roman" w:eastAsia="黑体"/>
          <w:color w:val="000000"/>
          <w:sz w:val="28"/>
          <w:szCs w:val="28"/>
        </w:rPr>
        <w:t>考试形式与试卷结构</w:t>
      </w:r>
    </w:p>
    <w:p w14:paraId="677D037C">
      <w:pPr>
        <w:widowControl/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1.</w:t>
      </w:r>
      <w:r>
        <w:rPr>
          <w:rFonts w:ascii="Times New Roman" w:hAnsi="Times New Roman" w:eastAsia="仿宋_GB2312"/>
          <w:color w:val="000000"/>
          <w:sz w:val="24"/>
          <w:szCs w:val="24"/>
        </w:rPr>
        <w:t>考试方式：闭卷、笔试</w:t>
      </w:r>
    </w:p>
    <w:p w14:paraId="41FB8DAE">
      <w:pPr>
        <w:widowControl/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2</w:t>
      </w:r>
      <w:r>
        <w:rPr>
          <w:rFonts w:ascii="Times New Roman" w:hAnsi="Times New Roman" w:eastAsia="仿宋_GB2312"/>
          <w:color w:val="000000"/>
          <w:sz w:val="24"/>
          <w:szCs w:val="24"/>
        </w:rPr>
        <w:t>.考试时长：180分钟</w:t>
      </w:r>
    </w:p>
    <w:p w14:paraId="6A7719AF">
      <w:pPr>
        <w:widowControl/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3</w:t>
      </w:r>
      <w:r>
        <w:rPr>
          <w:rFonts w:ascii="Times New Roman" w:hAnsi="Times New Roman" w:eastAsia="仿宋_GB2312"/>
          <w:color w:val="000000"/>
          <w:sz w:val="24"/>
          <w:szCs w:val="24"/>
        </w:rPr>
        <w:t>.试卷满分：150分</w:t>
      </w:r>
    </w:p>
    <w:p w14:paraId="7594D193">
      <w:pPr>
        <w:widowControl/>
        <w:spacing w:before="93" w:beforeLines="30" w:line="360" w:lineRule="auto"/>
        <w:ind w:firstLine="480" w:firstLineChars="200"/>
        <w:jc w:val="left"/>
        <w:rPr>
          <w:rFonts w:hint="eastAsia"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4</w:t>
      </w:r>
      <w:r>
        <w:rPr>
          <w:rFonts w:ascii="Times New Roman" w:hAnsi="Times New Roman" w:eastAsia="仿宋_GB2312"/>
          <w:color w:val="000000"/>
          <w:sz w:val="24"/>
          <w:szCs w:val="24"/>
        </w:rPr>
        <w:t>.考试题型及比例：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简答题约20% ；基本计算题约50%；综合计算题约30%</w:t>
      </w:r>
    </w:p>
    <w:p w14:paraId="75C9C61E">
      <w:pPr>
        <w:widowControl/>
        <w:tabs>
          <w:tab w:val="left" w:pos="720"/>
        </w:tabs>
        <w:spacing w:before="93" w:beforeLines="30" w:line="300" w:lineRule="auto"/>
        <w:jc w:val="left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</w:rPr>
        <w:t>三、考试内容与要求</w:t>
      </w:r>
    </w:p>
    <w:p w14:paraId="34C73CF7">
      <w:pPr>
        <w:spacing w:line="360" w:lineRule="auto"/>
        <w:rPr>
          <w:rFonts w:ascii="Times New Roman" w:hAnsi="Times New Roman" w:eastAsia="黑体" w:cs="黑体"/>
          <w:bCs/>
          <w:sz w:val="24"/>
        </w:rPr>
      </w:pPr>
      <w:r>
        <w:rPr>
          <w:rFonts w:hint="eastAsia" w:ascii="Times New Roman" w:hAnsi="Times New Roman" w:eastAsia="黑体" w:cs="黑体"/>
          <w:bCs/>
          <w:sz w:val="24"/>
        </w:rPr>
        <w:t>考试内容</w:t>
      </w:r>
    </w:p>
    <w:p w14:paraId="78AD252A">
      <w:pPr>
        <w:spacing w:line="360" w:lineRule="auto"/>
        <w:rPr>
          <w:rFonts w:ascii="Times New Roman" w:hAnsi="Times New Roman" w:eastAsia="黑体" w:cs="黑体"/>
          <w:bCs/>
          <w:sz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1．信号与系统的基本概念</w:t>
      </w:r>
    </w:p>
    <w:p w14:paraId="49D209B3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仿宋_GB2312"/>
          <w:color w:val="000000"/>
          <w:sz w:val="24"/>
          <w:szCs w:val="24"/>
        </w:rPr>
        <w:t xml:space="preserve">  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内容：信号描述及其分类，典型信号的运算，单位阶跃信号和单位冲激信号，系统的分类、定义和判断方法，能量信号、功率信号，线性时不变系统。</w:t>
      </w:r>
    </w:p>
    <w:p w14:paraId="12F5B98A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2</w:t>
      </w:r>
      <w:r>
        <w:rPr>
          <w:rFonts w:ascii="Times New Roman" w:hAnsi="Times New Roman" w:eastAsia="仿宋_GB2312"/>
          <w:color w:val="000000"/>
          <w:sz w:val="24"/>
          <w:szCs w:val="24"/>
        </w:rPr>
        <w:t>．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连续时间信号与系统的时域分析</w:t>
      </w:r>
    </w:p>
    <w:p w14:paraId="684073B0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内容：连续时间线性时不变系统的数学模型，系统的自由响应和强迫响应、零输入响应和零状态响应、暂态响应和稳态响应，单位冲激响应与单位阶跃响应，卷积的定义、基本性质和计算。</w:t>
      </w:r>
    </w:p>
    <w:p w14:paraId="2925AD70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3</w:t>
      </w:r>
      <w:r>
        <w:rPr>
          <w:rFonts w:ascii="Times New Roman" w:hAnsi="Times New Roman" w:eastAsia="仿宋_GB2312"/>
          <w:color w:val="000000"/>
          <w:sz w:val="24"/>
          <w:szCs w:val="24"/>
        </w:rPr>
        <w:t>．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傅里叶变换</w:t>
      </w:r>
    </w:p>
    <w:p w14:paraId="0F13F3DB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ascii="Times New Roman" w:hAnsi="Times New Roman" w:eastAsia="仿宋_GB2312"/>
          <w:color w:val="000000"/>
          <w:sz w:val="24"/>
          <w:szCs w:val="24"/>
        </w:rPr>
        <w:t>内容：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傅里叶级数，傅里叶变换、逆变换及典型周期信号、非周期信号的频谱，傅里叶变换的基本性质与计算，周期信号的傅里叶变换，抽样信号的傅里叶变换、抽样定理及其应用，离散时间傅里叶变换（DTFT）。</w:t>
      </w:r>
    </w:p>
    <w:p w14:paraId="6EE3E259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4</w:t>
      </w:r>
      <w:r>
        <w:rPr>
          <w:rFonts w:ascii="Times New Roman" w:hAnsi="Times New Roman" w:eastAsia="仿宋_GB2312"/>
          <w:color w:val="000000"/>
          <w:sz w:val="24"/>
          <w:szCs w:val="24"/>
        </w:rPr>
        <w:t>．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连续时间信号与系统的拉普拉斯变换分析</w:t>
      </w:r>
    </w:p>
    <w:p w14:paraId="60DD534F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内容：拉普拉斯变换定义、收敛域及逆变换，典型信号的拉普拉斯变换，拉普拉斯变换的基本性质与计算，线性时不变系统微分方程的拉普拉斯变换求解，系统函数，由系统函数零极点分布决定频响特性，线性系统的稳定性。</w:t>
      </w:r>
    </w:p>
    <w:p w14:paraId="78C6B06E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5</w:t>
      </w:r>
      <w:r>
        <w:rPr>
          <w:rFonts w:ascii="Times New Roman" w:hAnsi="Times New Roman" w:eastAsia="仿宋_GB2312"/>
          <w:color w:val="000000"/>
          <w:sz w:val="24"/>
          <w:szCs w:val="24"/>
        </w:rPr>
        <w:t>．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连续时间系统的频域分析</w:t>
      </w:r>
    </w:p>
    <w:p w14:paraId="0B79278D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ascii="Times New Roman" w:hAnsi="Times New Roman" w:eastAsia="仿宋_GB2312"/>
          <w:color w:val="000000"/>
          <w:sz w:val="24"/>
          <w:szCs w:val="24"/>
        </w:rPr>
        <w:t>内容：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用傅里叶变换求周期、非周期信号激励下的系统响应，无失真传输，连续时间系统的频率响应，理想低通滤波器，调制与解调。</w:t>
      </w:r>
    </w:p>
    <w:p w14:paraId="02621A12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6</w:t>
      </w:r>
      <w:r>
        <w:rPr>
          <w:rFonts w:ascii="Times New Roman" w:hAnsi="Times New Roman" w:eastAsia="仿宋_GB2312"/>
          <w:color w:val="000000"/>
          <w:sz w:val="24"/>
          <w:szCs w:val="24"/>
        </w:rPr>
        <w:t>．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离散时间信号与系统的时域分析</w:t>
      </w:r>
    </w:p>
    <w:p w14:paraId="2E60EDDD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ascii="Times New Roman" w:hAnsi="Times New Roman" w:eastAsia="仿宋_GB2312"/>
          <w:color w:val="000000"/>
          <w:sz w:val="24"/>
          <w:szCs w:val="24"/>
        </w:rPr>
        <w:t>内容：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离散时间基本信号、离散时间信号的运算，离散时间线性时不变系统的数学模型，离散时间系统的单位冲激（单位样值）响应，离散卷积和的定义、基本性质与计算。</w:t>
      </w:r>
    </w:p>
    <w:p w14:paraId="6A14BA46">
      <w:pPr>
        <w:widowControl/>
        <w:tabs>
          <w:tab w:val="left" w:pos="720"/>
        </w:tabs>
        <w:spacing w:before="93" w:beforeLines="30" w:line="360" w:lineRule="auto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7</w:t>
      </w:r>
      <w:r>
        <w:rPr>
          <w:rFonts w:ascii="Times New Roman" w:hAnsi="Times New Roman" w:eastAsia="仿宋_GB2312"/>
          <w:color w:val="000000"/>
          <w:sz w:val="24"/>
          <w:szCs w:val="24"/>
        </w:rPr>
        <w:t>．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离散时间信号与系统的Z变换分析和频域分析</w:t>
      </w:r>
    </w:p>
    <w:p w14:paraId="686AFFF7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ascii="Times New Roman" w:hAnsi="Times New Roman" w:eastAsia="仿宋_GB2312"/>
          <w:color w:val="000000"/>
          <w:sz w:val="24"/>
          <w:szCs w:val="24"/>
        </w:rPr>
        <w:t>内容：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Z变换的定义与收敛域，典型离散时间信号的Z变换，逆Z变换，Z变换的基本性质，离散线性时不变系统差分方程的Z变换求解，离散系统的系统函数，离散系统的频率响应、稳定性，由离散系统函数的零极点分布决定频响特性。</w:t>
      </w:r>
    </w:p>
    <w:p w14:paraId="29362E8D">
      <w:pPr>
        <w:widowControl/>
        <w:tabs>
          <w:tab w:val="left" w:pos="720"/>
        </w:tabs>
        <w:spacing w:before="93" w:beforeLines="30" w:line="300" w:lineRule="auto"/>
        <w:jc w:val="left"/>
        <w:rPr>
          <w:rFonts w:ascii="Times New Roman" w:hAnsi="Times New Roman" w:eastAsia="黑体" w:cs="黑体"/>
          <w:color w:val="000000"/>
          <w:sz w:val="24"/>
          <w:szCs w:val="24"/>
        </w:rPr>
      </w:pPr>
      <w:r>
        <w:rPr>
          <w:rFonts w:hint="eastAsia" w:ascii="Times New Roman" w:hAnsi="Times New Roman" w:eastAsia="黑体" w:cs="黑体"/>
          <w:color w:val="000000"/>
          <w:sz w:val="24"/>
          <w:szCs w:val="24"/>
        </w:rPr>
        <w:t>考试要求</w:t>
      </w:r>
    </w:p>
    <w:p w14:paraId="4A2C231F">
      <w:pPr>
        <w:widowControl/>
        <w:tabs>
          <w:tab w:val="left" w:pos="720"/>
        </w:tabs>
        <w:spacing w:before="93" w:beforeLines="30" w:line="360" w:lineRule="auto"/>
        <w:ind w:firstLine="480" w:firstLineChars="200"/>
        <w:jc w:val="left"/>
        <w:rPr>
          <w:rFonts w:hint="eastAsia"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要求考生熟练掌握《信号与系统》课程的信号与系统的描述、基本分析方法、傅里叶变换、拉普拉斯变换、Z变换的分析方法以及频谱、滤波、调制解调、系统的稳定性等基础理论，能综合运用所学的基本原理和基本方法分析、判断和解决有关理论问题及实际问题，并能灵活应用。</w:t>
      </w:r>
    </w:p>
    <w:p w14:paraId="6D8B7B58">
      <w:pPr>
        <w:pStyle w:val="9"/>
        <w:widowControl/>
        <w:spacing w:before="156" w:beforeLines="50"/>
        <w:ind w:firstLine="0" w:firstLineChars="0"/>
        <w:jc w:val="left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</w:rPr>
        <w:t>四、</w:t>
      </w:r>
      <w:r>
        <w:rPr>
          <w:rFonts w:ascii="Times New Roman" w:hAnsi="Times New Roman" w:eastAsia="黑体"/>
          <w:color w:val="000000"/>
          <w:sz w:val="28"/>
          <w:szCs w:val="28"/>
        </w:rPr>
        <w:t>参考书目</w:t>
      </w:r>
    </w:p>
    <w:p w14:paraId="0B5D4534">
      <w:pPr>
        <w:widowControl/>
        <w:spacing w:before="93" w:beforeLines="30" w:line="300" w:lineRule="auto"/>
        <w:ind w:firstLine="480" w:firstLineChars="200"/>
        <w:jc w:val="left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吴大正</w:t>
      </w:r>
      <w:r>
        <w:rPr>
          <w:rFonts w:ascii="Times New Roman" w:hAnsi="Times New Roman" w:eastAsia="仿宋_GB2312"/>
          <w:color w:val="000000"/>
          <w:sz w:val="24"/>
          <w:szCs w:val="24"/>
        </w:rPr>
        <w:t>主编，《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信号与线性系统分析</w:t>
      </w:r>
      <w:r>
        <w:rPr>
          <w:rFonts w:ascii="Times New Roman" w:hAnsi="Times New Roman" w:eastAsia="仿宋_GB2312"/>
          <w:color w:val="000000"/>
          <w:sz w:val="24"/>
          <w:szCs w:val="24"/>
        </w:rPr>
        <w:t>》（第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5</w:t>
      </w:r>
      <w:r>
        <w:rPr>
          <w:rFonts w:ascii="Times New Roman" w:hAnsi="Times New Roman" w:eastAsia="仿宋_GB2312"/>
          <w:color w:val="000000"/>
          <w:sz w:val="24"/>
          <w:szCs w:val="24"/>
        </w:rPr>
        <w:t>版），北京：高等教育出版社，20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19</w:t>
      </w:r>
      <w:r>
        <w:rPr>
          <w:rFonts w:ascii="Times New Roman" w:hAnsi="Times New Roman" w:eastAsia="仿宋_GB2312"/>
          <w:color w:val="000000"/>
          <w:sz w:val="24"/>
          <w:szCs w:val="24"/>
        </w:rPr>
        <w:t>年</w:t>
      </w:r>
      <w:r>
        <w:rPr>
          <w:rFonts w:hint="eastAsia" w:ascii="Times New Roman" w:hAnsi="Times New Roman" w:eastAsia="仿宋_GB2312"/>
          <w:color w:val="000000"/>
          <w:sz w:val="24"/>
          <w:szCs w:val="24"/>
        </w:rPr>
        <w:t>3</w:t>
      </w:r>
      <w:r>
        <w:rPr>
          <w:rFonts w:ascii="Times New Roman" w:hAnsi="Times New Roman" w:eastAsia="仿宋_GB2312"/>
          <w:color w:val="000000"/>
          <w:sz w:val="24"/>
          <w:szCs w:val="24"/>
        </w:rPr>
        <w:t xml:space="preserve">月 </w:t>
      </w:r>
    </w:p>
    <w:p w14:paraId="6211552C">
      <w:pPr>
        <w:rPr>
          <w:rFonts w:ascii="Times New Roman" w:hAnsi="Times New Roman" w:eastAsia="仿宋_GB2312"/>
          <w:color w:val="000000"/>
          <w:sz w:val="22"/>
          <w:szCs w:val="28"/>
        </w:rPr>
      </w:pPr>
      <w:r>
        <w:rPr>
          <w:rFonts w:hint="eastAsia" w:ascii="Times New Roman" w:hAnsi="Times New Roman" w:eastAsia="仿宋_GB2312"/>
          <w:color w:val="000000"/>
          <w:sz w:val="22"/>
          <w:szCs w:val="28"/>
        </w:rPr>
        <w:t xml:space="preserve"> </w:t>
      </w:r>
      <w:r>
        <w:rPr>
          <w:rFonts w:ascii="Times New Roman" w:hAnsi="Times New Roman" w:eastAsia="仿宋_GB2312"/>
          <w:color w:val="000000"/>
          <w:sz w:val="22"/>
          <w:szCs w:val="28"/>
        </w:rPr>
        <w:t xml:space="preserve">                                                </w:t>
      </w:r>
    </w:p>
    <w:p w14:paraId="20981C14">
      <w:pPr>
        <w:widowControl/>
        <w:jc w:val="left"/>
        <w:rPr>
          <w:rFonts w:ascii="Times New Roman" w:hAnsi="Times New Roman" w:eastAsia="仿宋_GB2312"/>
          <w:color w:val="000000"/>
          <w:sz w:val="22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52A67"/>
    <w:multiLevelType w:val="multilevel"/>
    <w:tmpl w:val="09052A67"/>
    <w:lvl w:ilvl="0" w:tentative="0">
      <w:start w:val="2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10AD22"/>
    <w:multiLevelType w:val="multilevel"/>
    <w:tmpl w:val="3110AD22"/>
    <w:lvl w:ilvl="0" w:tentative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643"/>
        </w:tabs>
        <w:ind w:left="643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F6D"/>
    <w:rsid w:val="000A0ACD"/>
    <w:rsid w:val="0011708A"/>
    <w:rsid w:val="00134C1F"/>
    <w:rsid w:val="0027013F"/>
    <w:rsid w:val="002B7068"/>
    <w:rsid w:val="002B78FC"/>
    <w:rsid w:val="003247D1"/>
    <w:rsid w:val="00343D84"/>
    <w:rsid w:val="00497982"/>
    <w:rsid w:val="00742327"/>
    <w:rsid w:val="0078215F"/>
    <w:rsid w:val="00790F6D"/>
    <w:rsid w:val="007B762B"/>
    <w:rsid w:val="00805FF2"/>
    <w:rsid w:val="008A2717"/>
    <w:rsid w:val="009306C6"/>
    <w:rsid w:val="00A21142"/>
    <w:rsid w:val="00B05C20"/>
    <w:rsid w:val="0B5B09C6"/>
    <w:rsid w:val="1CB67B1F"/>
    <w:rsid w:val="3A5E1275"/>
    <w:rsid w:val="42D50065"/>
    <w:rsid w:val="501036E9"/>
    <w:rsid w:val="691B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1217</Words>
  <Characters>1242</Characters>
  <Lines>10</Lines>
  <Paragraphs>2</Paragraphs>
  <TotalTime>35</TotalTime>
  <ScaleCrop>false</ScaleCrop>
  <LinksUpToDate>false</LinksUpToDate>
  <CharactersWithSpaces>1418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2026-08-15T03:31:00Z</dcterms:created>
  <dc:creator>DELL</dc:creator>
  <cp:lastModifiedBy>流氓兔</cp:lastModifiedBy>
  <dcterms:modified xsi:type="dcterms:W3CDTF">2026-10-10T03:47:15Z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eyJoZGlkIjoiYzg3ZmVjNjI1MzljOWViMDUxYmU4ZmRkOTcxYzFiYjgiLCJ1c2VySWQiOiIzOTE5NTM5MzQifQ==</vt:lpwstr>
  </property>
  <property fmtid="{D5CDD505-2E9C-101B-9397-08002B2CF9AE}" pid="3" name="KSOProductBuildVer">
    <vt:lpwstr>2052-12.1.0.28488</vt:lpwstr>
  </property>
  <property fmtid="{D5CDD505-2E9C-101B-9397-08002B2CF9AE}" pid="4" name="ICV">
    <vt:lpwstr>05A4517DFE52482EBE757697BE787CE0_13</vt:lpwstr>
  </property>
</Properties>
</file>