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DC75F">
      <w:pPr>
        <w:spacing w:line="560" w:lineRule="exact"/>
        <w:rPr>
          <w:rFonts w:ascii="Times New Roman" w:hAnsi="Times New Roman" w:eastAsia="仿宋_GB2312"/>
          <w:sz w:val="32"/>
        </w:rPr>
      </w:pPr>
      <w:r>
        <w:rPr>
          <w:rFonts w:ascii="Times New Roman" w:hAnsi="Times New Roman" w:eastAsia="仿宋_GB2312"/>
          <w:sz w:val="32"/>
        </w:rPr>
        <w:t>附件2：</w:t>
      </w:r>
    </w:p>
    <w:p w14:paraId="4F766D57">
      <w:pPr>
        <w:spacing w:line="56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河南农业大学</w:t>
      </w:r>
      <w:r>
        <w:rPr>
          <w:rFonts w:ascii="Times New Roman" w:hAnsi="Times New Roman" w:eastAsia="方正小标宋简体"/>
          <w:sz w:val="44"/>
          <w:szCs w:val="44"/>
        </w:rPr>
        <w:t>2027年</w:t>
      </w:r>
      <w:r>
        <w:rPr>
          <w:rFonts w:hint="eastAsia" w:ascii="Times New Roman" w:hAnsi="Times New Roman" w:eastAsia="方正小标宋简体"/>
          <w:sz w:val="44"/>
          <w:szCs w:val="44"/>
        </w:rPr>
        <w:t>硕士研究生招生自命题科目考试大纲</w:t>
      </w:r>
    </w:p>
    <w:p w14:paraId="0D4D76AE">
      <w:pPr>
        <w:spacing w:line="560" w:lineRule="exact"/>
        <w:jc w:val="left"/>
        <w:rPr>
          <w:rFonts w:ascii="Times New Roman" w:hAnsi="Times New Roman" w:eastAsia="仿宋_GB2312"/>
          <w:color w:val="FF0000"/>
          <w:sz w:val="28"/>
          <w:szCs w:val="28"/>
        </w:rPr>
      </w:pPr>
    </w:p>
    <w:p w14:paraId="6FCE9D0B">
      <w:pPr>
        <w:spacing w:line="560" w:lineRule="exact"/>
        <w:jc w:val="left"/>
        <w:rPr>
          <w:rFonts w:ascii="Times New Roman" w:hAnsi="Times New Roman" w:eastAsia="黑体"/>
          <w:sz w:val="40"/>
        </w:rPr>
      </w:pPr>
      <w:r>
        <w:rPr>
          <w:rFonts w:hint="eastAsia" w:ascii="Times New Roman" w:hAnsi="Times New Roman" w:eastAsia="黑体"/>
          <w:color w:val="000000"/>
          <w:sz w:val="28"/>
          <w:szCs w:val="28"/>
        </w:rPr>
        <w:t>一、</w:t>
      </w:r>
      <w:r>
        <w:rPr>
          <w:rFonts w:ascii="Times New Roman" w:hAnsi="Times New Roman" w:eastAsia="黑体"/>
          <w:color w:val="000000"/>
          <w:sz w:val="28"/>
          <w:szCs w:val="28"/>
        </w:rPr>
        <w:t>考试基本信息</w:t>
      </w:r>
    </w:p>
    <w:p w14:paraId="646B92CC">
      <w:pPr>
        <w:widowControl/>
        <w:numPr>
          <w:ilvl w:val="0"/>
          <w:numId w:val="1"/>
        </w:numPr>
        <w:spacing w:before="93" w:beforeLines="30" w:line="300" w:lineRule="auto"/>
        <w:ind w:left="0" w:firstLine="442" w:firstLineChars="200"/>
        <w:jc w:val="left"/>
        <w:rPr>
          <w:rFonts w:ascii="Times New Roman" w:hAnsi="Times New Roman" w:eastAsia="仿宋_GB2312"/>
          <w:b/>
          <w:bCs/>
          <w:color w:val="000000"/>
          <w:sz w:val="22"/>
          <w:szCs w:val="28"/>
        </w:rPr>
      </w:pPr>
      <w:r>
        <w:rPr>
          <w:rStyle w:val="6"/>
          <w:rFonts w:ascii="Times New Roman" w:hAnsi="Times New Roman" w:eastAsia="仿宋_GB2312"/>
          <w:color w:val="000000"/>
          <w:sz w:val="22"/>
          <w:szCs w:val="28"/>
        </w:rPr>
        <w:t>科目代码</w:t>
      </w:r>
      <w:r>
        <w:rPr>
          <w:rFonts w:ascii="Times New Roman" w:hAnsi="Times New Roman" w:eastAsia="仿宋_GB2312"/>
          <w:b/>
          <w:bCs/>
          <w:color w:val="000000"/>
          <w:sz w:val="22"/>
          <w:szCs w:val="28"/>
        </w:rPr>
        <w:t>：</w:t>
      </w:r>
      <w:r>
        <w:rPr>
          <w:rFonts w:ascii="Times New Roman" w:hAnsi="Times New Roman" w:eastAsia="仿宋_GB2312" w:cs="Times New Roman"/>
          <w:b/>
          <w:bCs/>
          <w:color w:val="000000"/>
          <w:sz w:val="22"/>
          <w:szCs w:val="28"/>
        </w:rPr>
        <w:t xml:space="preserve">835 </w:t>
      </w:r>
    </w:p>
    <w:p w14:paraId="0DEB9A38">
      <w:pPr>
        <w:widowControl/>
        <w:numPr>
          <w:ilvl w:val="0"/>
          <w:numId w:val="1"/>
        </w:numPr>
        <w:spacing w:before="93" w:beforeLines="30" w:line="300" w:lineRule="auto"/>
        <w:ind w:left="0" w:firstLine="442" w:firstLineChars="200"/>
        <w:jc w:val="left"/>
        <w:rPr>
          <w:rFonts w:ascii="Times New Roman" w:hAnsi="Times New Roman" w:eastAsia="仿宋_GB2312"/>
          <w:b/>
          <w:bCs/>
          <w:color w:val="000000"/>
          <w:sz w:val="22"/>
          <w:szCs w:val="28"/>
        </w:rPr>
      </w:pPr>
      <w:r>
        <w:rPr>
          <w:rStyle w:val="6"/>
          <w:rFonts w:ascii="Times New Roman" w:hAnsi="Times New Roman" w:eastAsia="仿宋_GB2312"/>
          <w:color w:val="000000"/>
          <w:sz w:val="22"/>
          <w:szCs w:val="28"/>
        </w:rPr>
        <w:t>科目名称</w:t>
      </w:r>
      <w:r>
        <w:rPr>
          <w:rFonts w:ascii="Times New Roman" w:hAnsi="Times New Roman" w:eastAsia="仿宋_GB2312"/>
          <w:b/>
          <w:bCs/>
          <w:color w:val="000000"/>
          <w:sz w:val="22"/>
          <w:szCs w:val="28"/>
        </w:rPr>
        <w:t>：</w:t>
      </w:r>
      <w:r>
        <w:rPr>
          <w:rFonts w:hint="eastAsia" w:ascii="Times New Roman" w:hAnsi="Times New Roman" w:eastAsia="仿宋_GB2312"/>
          <w:b/>
          <w:bCs/>
          <w:color w:val="000000"/>
          <w:sz w:val="22"/>
          <w:szCs w:val="28"/>
        </w:rPr>
        <w:t>汽车运用工程</w:t>
      </w:r>
    </w:p>
    <w:p w14:paraId="2287FE5C">
      <w:pPr>
        <w:widowControl/>
        <w:numPr>
          <w:ilvl w:val="0"/>
          <w:numId w:val="1"/>
        </w:numPr>
        <w:spacing w:before="93" w:beforeLines="30" w:line="300" w:lineRule="auto"/>
        <w:ind w:left="0" w:firstLine="442" w:firstLineChars="200"/>
        <w:rPr>
          <w:rFonts w:ascii="Times New Roman" w:hAnsi="Times New Roman" w:eastAsia="仿宋_GB2312"/>
          <w:b/>
          <w:bCs/>
          <w:color w:val="000000"/>
          <w:sz w:val="22"/>
          <w:szCs w:val="28"/>
        </w:rPr>
      </w:pPr>
      <w:r>
        <w:rPr>
          <w:rStyle w:val="6"/>
          <w:rFonts w:hint="eastAsia" w:ascii="Times New Roman" w:hAnsi="Times New Roman" w:eastAsia="仿宋_GB2312"/>
          <w:color w:val="000000"/>
          <w:sz w:val="22"/>
          <w:szCs w:val="28"/>
        </w:rPr>
        <w:t>考试目的</w:t>
      </w:r>
      <w:r>
        <w:rPr>
          <w:rFonts w:ascii="Times New Roman" w:hAnsi="Times New Roman" w:eastAsia="仿宋_GB2312"/>
          <w:b/>
          <w:bCs/>
          <w:color w:val="000000"/>
          <w:sz w:val="22"/>
          <w:szCs w:val="28"/>
        </w:rPr>
        <w:t>：</w:t>
      </w:r>
      <w:r>
        <w:rPr>
          <w:rFonts w:ascii="Times New Roman" w:hAnsi="Times New Roman" w:eastAsia="仿宋_GB2312"/>
          <w:color w:val="000000"/>
          <w:sz w:val="22"/>
          <w:szCs w:val="28"/>
        </w:rPr>
        <w:t>以汽车运用工程能力考查为核心，重点考查考生对汽车运用工程核心课程基础理论的系统掌握程度，兼顾考查考生综合运用学科基础知识解决车辆运用工程实际问题的能力，选拔具备汽车使用性能分析、车辆技术管理与工况运用规划能力的</w:t>
      </w:r>
      <w:r>
        <w:rPr>
          <w:rFonts w:hint="eastAsia" w:ascii="Times New Roman" w:hAnsi="Times New Roman" w:eastAsia="仿宋_GB2312"/>
          <w:color w:val="000000"/>
          <w:sz w:val="22"/>
          <w:szCs w:val="28"/>
        </w:rPr>
        <w:t>拔尖</w:t>
      </w:r>
      <w:r>
        <w:rPr>
          <w:rFonts w:ascii="Times New Roman" w:hAnsi="Times New Roman" w:eastAsia="仿宋_GB2312"/>
          <w:color w:val="000000"/>
          <w:sz w:val="22"/>
          <w:szCs w:val="28"/>
        </w:rPr>
        <w:t>人才。</w:t>
      </w:r>
    </w:p>
    <w:p w14:paraId="5635C2BF">
      <w:pPr>
        <w:pStyle w:val="9"/>
        <w:numPr>
          <w:ilvl w:val="0"/>
          <w:numId w:val="2"/>
        </w:numPr>
        <w:spacing w:line="560" w:lineRule="exact"/>
        <w:ind w:firstLineChars="0"/>
        <w:jc w:val="left"/>
        <w:rPr>
          <w:rFonts w:ascii="Times New Roman" w:hAnsi="Times New Roman" w:eastAsia="黑体"/>
          <w:color w:val="000000"/>
          <w:sz w:val="28"/>
          <w:szCs w:val="28"/>
        </w:rPr>
      </w:pPr>
      <w:r>
        <w:rPr>
          <w:rFonts w:ascii="Times New Roman" w:hAnsi="Times New Roman" w:eastAsia="黑体"/>
          <w:color w:val="000000"/>
          <w:sz w:val="28"/>
          <w:szCs w:val="28"/>
        </w:rPr>
        <w:t>考试形式与试卷结构</w:t>
      </w:r>
    </w:p>
    <w:p w14:paraId="677D037C">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w:t>
      </w:r>
      <w:r>
        <w:rPr>
          <w:rFonts w:ascii="Times New Roman" w:hAnsi="Times New Roman" w:eastAsia="仿宋_GB2312"/>
          <w:color w:val="000000"/>
          <w:sz w:val="22"/>
          <w:szCs w:val="28"/>
        </w:rPr>
        <w:t>考试方式：闭卷、笔试</w:t>
      </w:r>
    </w:p>
    <w:p w14:paraId="41FB8DAE">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w:t>
      </w:r>
      <w:r>
        <w:rPr>
          <w:rFonts w:ascii="Times New Roman" w:hAnsi="Times New Roman" w:eastAsia="仿宋_GB2312"/>
          <w:color w:val="000000"/>
          <w:sz w:val="22"/>
          <w:szCs w:val="28"/>
        </w:rPr>
        <w:t>考试时长：180 分钟</w:t>
      </w:r>
    </w:p>
    <w:p w14:paraId="6A7719AF">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3、</w:t>
      </w:r>
      <w:r>
        <w:rPr>
          <w:rFonts w:ascii="Times New Roman" w:hAnsi="Times New Roman" w:eastAsia="仿宋_GB2312"/>
          <w:color w:val="000000"/>
          <w:sz w:val="22"/>
          <w:szCs w:val="28"/>
        </w:rPr>
        <w:t>试卷满分：150 分</w:t>
      </w:r>
    </w:p>
    <w:p w14:paraId="762147BB">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4、</w:t>
      </w:r>
      <w:r>
        <w:rPr>
          <w:rFonts w:ascii="Times New Roman" w:hAnsi="Times New Roman" w:eastAsia="仿宋_GB2312"/>
          <w:color w:val="000000"/>
          <w:sz w:val="22"/>
          <w:szCs w:val="28"/>
        </w:rPr>
        <w:t xml:space="preserve">考试题型及比例 </w:t>
      </w:r>
    </w:p>
    <w:p w14:paraId="1C71E17F">
      <w:pPr>
        <w:spacing w:line="480" w:lineRule="exact"/>
        <w:ind w:left="44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1）主要题型有：名词解释、填空题、判断题、简答题、计算题、分析题。</w:t>
      </w:r>
    </w:p>
    <w:p w14:paraId="57E4862C">
      <w:pPr>
        <w:spacing w:line="480" w:lineRule="exact"/>
        <w:ind w:left="44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2）以上题型各占15－20%，题目难、中等、基础题各占为20%、30%和50%左右。</w:t>
      </w:r>
    </w:p>
    <w:p w14:paraId="75C9C61E">
      <w:pPr>
        <w:widowControl/>
        <w:tabs>
          <w:tab w:val="left" w:pos="720"/>
        </w:tabs>
        <w:spacing w:before="93" w:beforeLines="30" w:line="300" w:lineRule="auto"/>
        <w:jc w:val="left"/>
        <w:rPr>
          <w:rFonts w:ascii="Times New Roman" w:hAnsi="Times New Roman" w:eastAsia="黑体"/>
          <w:color w:val="000000"/>
          <w:sz w:val="28"/>
          <w:szCs w:val="28"/>
        </w:rPr>
      </w:pPr>
      <w:r>
        <w:rPr>
          <w:rFonts w:hint="eastAsia" w:ascii="Times New Roman" w:hAnsi="Times New Roman" w:eastAsia="黑体"/>
          <w:color w:val="000000"/>
          <w:sz w:val="28"/>
          <w:szCs w:val="28"/>
        </w:rPr>
        <w:t>三、考试内容与要求</w:t>
      </w:r>
    </w:p>
    <w:p w14:paraId="058B1099">
      <w:pPr>
        <w:widowControl/>
        <w:tabs>
          <w:tab w:val="left" w:pos="720"/>
        </w:tabs>
        <w:spacing w:before="93" w:beforeLines="30" w:line="300" w:lineRule="auto"/>
        <w:jc w:val="left"/>
        <w:rPr>
          <w:rFonts w:ascii="Times New Roman" w:hAnsi="Times New Roman" w:eastAsia="黑体"/>
          <w:color w:val="000000"/>
          <w:sz w:val="24"/>
          <w:szCs w:val="24"/>
        </w:rPr>
      </w:pPr>
      <w:r>
        <w:rPr>
          <w:rFonts w:ascii="Times New Roman" w:hAnsi="Times New Roman" w:eastAsia="黑体"/>
          <w:color w:val="000000"/>
          <w:sz w:val="24"/>
          <w:szCs w:val="24"/>
        </w:rPr>
        <w:t xml:space="preserve">    </w:t>
      </w:r>
      <w:r>
        <w:rPr>
          <w:rFonts w:hint="eastAsia" w:ascii="Times New Roman" w:hAnsi="Times New Roman" w:eastAsia="黑体"/>
          <w:color w:val="000000"/>
          <w:sz w:val="24"/>
          <w:szCs w:val="24"/>
        </w:rPr>
        <w:t>考试内容：</w:t>
      </w:r>
    </w:p>
    <w:p w14:paraId="67ECC431">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1．汽车的运用基础</w:t>
      </w:r>
    </w:p>
    <w:p w14:paraId="2A77B9A3">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汽车动力性、燃油经济性、制动性、操纵稳定性、行驶平顺性、通过性等主要技术性能指标的含义、评价参数与表达形式</w:t>
      </w:r>
      <w:r>
        <w:rPr>
          <w:rFonts w:hint="eastAsia" w:ascii="Times New Roman" w:hAnsi="Times New Roman" w:eastAsia="仿宋_GB2312"/>
          <w:color w:val="000000"/>
          <w:sz w:val="22"/>
          <w:szCs w:val="28"/>
        </w:rPr>
        <w:t>；</w:t>
      </w:r>
      <w:r>
        <w:rPr>
          <w:rFonts w:ascii="Times New Roman" w:hAnsi="Times New Roman" w:eastAsia="仿宋_GB2312"/>
          <w:color w:val="000000"/>
          <w:sz w:val="22"/>
          <w:szCs w:val="28"/>
        </w:rPr>
        <w:t>气候条件、道路条件、运输条件、车辆技术状况等各类使用条件，以及不同条件对汽车正确使用的影响规律</w:t>
      </w:r>
      <w:r>
        <w:rPr>
          <w:rFonts w:hint="eastAsia" w:ascii="Times New Roman" w:hAnsi="Times New Roman" w:eastAsia="仿宋_GB2312"/>
          <w:color w:val="000000"/>
          <w:sz w:val="22"/>
          <w:szCs w:val="28"/>
        </w:rPr>
        <w:t>；</w:t>
      </w:r>
      <w:r>
        <w:rPr>
          <w:rFonts w:ascii="Times New Roman" w:hAnsi="Times New Roman" w:eastAsia="仿宋_GB2312"/>
          <w:color w:val="000000"/>
          <w:sz w:val="22"/>
          <w:szCs w:val="28"/>
        </w:rPr>
        <w:t>汽车各项性能指标对车辆运输效率、运行消耗、行驶安全、使用寿命等车辆使用过程产生的影响。</w:t>
      </w:r>
    </w:p>
    <w:p w14:paraId="0F889DB4">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2．汽车运用效率和成本</w:t>
      </w:r>
    </w:p>
    <w:p w14:paraId="578C46F8">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汽车运输生产率、运输成本的基本概念，运输生产率与运输成本的构成、主要影响因素</w:t>
      </w:r>
      <w:r>
        <w:rPr>
          <w:rFonts w:hint="eastAsia" w:ascii="Times New Roman" w:hAnsi="Times New Roman" w:eastAsia="仿宋_GB2312"/>
          <w:color w:val="000000"/>
          <w:sz w:val="22"/>
          <w:szCs w:val="28"/>
        </w:rPr>
        <w:t>；</w:t>
      </w:r>
      <w:r>
        <w:rPr>
          <w:rFonts w:ascii="Times New Roman" w:hAnsi="Times New Roman" w:eastAsia="仿宋_GB2312"/>
          <w:color w:val="000000"/>
          <w:sz w:val="22"/>
          <w:szCs w:val="28"/>
        </w:rPr>
        <w:t>汽车时间利用、速度利用、行程利用、装载能力利用、拖挂能力利用、车辆运用效率等评价指标的定义、含义与表征方式。</w:t>
      </w:r>
    </w:p>
    <w:p w14:paraId="44B443ED">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3．汽车运行材料的合理利用</w:t>
      </w:r>
    </w:p>
    <w:p w14:paraId="7C8E22CD">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燃油、润滑材料、制动液、防冻液、汽车轮胎等运行材料的型号表示方法与标识规则；汽油、柴油的基本组成、主要性能指标、燃烧排放特性及适用条件；黏度、闪点、凝点、倾点、氧化安定性、腐蚀性、抗磨性、制动液沸点、防冻液冰点等运行材料关键特性的概念及表征方式；各类运行材料的选择依据、使用要求、更换周期及使用注意事项。</w:t>
      </w:r>
    </w:p>
    <w:p w14:paraId="6CFCDEEE">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4．汽车在特殊条件下的使用</w:t>
      </w:r>
    </w:p>
    <w:p w14:paraId="3C014367">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低温、高温、高原、山区、泥泞冰雪等各类特殊工况条件对汽车使用产生的影响，不同特殊工况下车辆使用所需要采取的技术与运用保障措施。</w:t>
      </w:r>
    </w:p>
    <w:p w14:paraId="68CDE22A">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5．汽车的技术维护与修理</w:t>
      </w:r>
    </w:p>
    <w:p w14:paraId="73C7DE11">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车辆技术状况的分类标准、等级划分依据、各类技术状况的含义及其对车辆使用性能和安全运行的影响</w:t>
      </w:r>
      <w:r>
        <w:rPr>
          <w:rFonts w:hint="eastAsia" w:ascii="Times New Roman" w:hAnsi="Times New Roman" w:eastAsia="仿宋_GB2312"/>
          <w:color w:val="000000"/>
          <w:sz w:val="22"/>
          <w:szCs w:val="28"/>
        </w:rPr>
        <w:t>；</w:t>
      </w:r>
      <w:r>
        <w:rPr>
          <w:rFonts w:ascii="Times New Roman" w:hAnsi="Times New Roman" w:eastAsia="仿宋_GB2312"/>
          <w:color w:val="000000"/>
          <w:sz w:val="22"/>
          <w:szCs w:val="28"/>
        </w:rPr>
        <w:t>车辆技术维护的基本操作内容、工艺程序、维护周期确定方法，以及与维护相关的常用名词术语解释。</w:t>
      </w:r>
    </w:p>
    <w:p w14:paraId="17839279">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6．车辆的总体管理</w:t>
      </w:r>
    </w:p>
    <w:p w14:paraId="6DFBA435">
      <w:pPr>
        <w:spacing w:line="480" w:lineRule="exact"/>
        <w:ind w:firstLine="440" w:firstLineChars="200"/>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w:t>
      </w:r>
      <w:r>
        <w:rPr>
          <w:rFonts w:ascii="Times New Roman" w:hAnsi="Times New Roman" w:eastAsia="仿宋_GB2312"/>
          <w:color w:val="000000"/>
          <w:sz w:val="22"/>
          <w:szCs w:val="28"/>
        </w:rPr>
        <w:t>汽车运用工程问题的分析原则，分析问题的逻辑，工程分析所采用的常用方法，技术措施选取的依据，理论与技术规范的相关要求</w:t>
      </w:r>
      <w:r>
        <w:rPr>
          <w:rFonts w:hint="eastAsia" w:ascii="Times New Roman" w:hAnsi="Times New Roman" w:eastAsia="仿宋_GB2312"/>
          <w:color w:val="000000"/>
          <w:sz w:val="22"/>
          <w:szCs w:val="28"/>
        </w:rPr>
        <w:t>；</w:t>
      </w:r>
      <w:r>
        <w:rPr>
          <w:rFonts w:ascii="Times New Roman" w:hAnsi="Times New Roman" w:eastAsia="仿宋_GB2312"/>
          <w:color w:val="000000"/>
          <w:sz w:val="22"/>
          <w:szCs w:val="28"/>
        </w:rPr>
        <w:t>汽车领域各类新技术在车辆运用场景中的工程应用，针对新技术应用开展理论剖析，不同应用观点的对比梳理，技术可行性与适用性的阐述。</w:t>
      </w:r>
    </w:p>
    <w:p w14:paraId="76D6CC2B">
      <w:pPr>
        <w:widowControl/>
        <w:tabs>
          <w:tab w:val="left" w:pos="720"/>
        </w:tabs>
        <w:spacing w:before="93" w:beforeLines="30" w:line="300" w:lineRule="auto"/>
        <w:jc w:val="left"/>
        <w:rPr>
          <w:rFonts w:ascii="Times New Roman" w:hAnsi="Times New Roman" w:eastAsia="黑体"/>
          <w:color w:val="000000"/>
          <w:sz w:val="24"/>
          <w:szCs w:val="24"/>
        </w:rPr>
      </w:pPr>
      <w:r>
        <w:rPr>
          <w:rFonts w:hint="eastAsia" w:ascii="Times New Roman" w:hAnsi="Times New Roman" w:eastAsia="黑体"/>
          <w:color w:val="000000"/>
          <w:sz w:val="24"/>
          <w:szCs w:val="24"/>
        </w:rPr>
        <w:t>考试要求：</w:t>
      </w:r>
    </w:p>
    <w:p w14:paraId="02223EFB">
      <w:pPr>
        <w:spacing w:line="480" w:lineRule="exact"/>
        <w:ind w:firstLine="440" w:firstLineChars="200"/>
        <w:rPr>
          <w:rFonts w:ascii="Times New Roman" w:hAnsi="Times New Roman" w:eastAsia="仿宋_GB2312"/>
          <w:color w:val="000000"/>
          <w:sz w:val="22"/>
          <w:szCs w:val="28"/>
        </w:rPr>
      </w:pPr>
      <w:r>
        <w:rPr>
          <w:rFonts w:ascii="Times New Roman" w:hAnsi="Times New Roman" w:eastAsia="仿宋_GB2312"/>
          <w:color w:val="000000"/>
          <w:sz w:val="22"/>
          <w:szCs w:val="28"/>
        </w:rPr>
        <w:t>掌握汽车各项主要技术性能指标的物理含义与评价表达方法，理解各类使用条件对汽车运用的影响规律，能够辨析性能指标与车辆运输效率、运行消耗、行驶安全、使用寿命之间的内在关系；掌握汽车运输生产率、运输成本及各项运用效率评价指标的实质含义，理解各指标内在关联，可结合运输场景开展指标分析；掌握各类汽车运行材料型号标识、关键性能特性概念，熟悉运行材料选择依据、使用要求与更换注意事项，能够结合工况合理选用运行材料；掌握低温、高温、高原、山区、泥泞冰雪等特殊工况对汽车使用的影响机理，理解各类工况保障措施原理，可针对特殊使用条件制定车辆运用技术方案；掌握车辆技术状况等级划分标准，理解维护工艺程序与专业术语，能够依据车辆技术状况制定合理维护方案；掌握汽车运用工程问题的分析原则与常用工程分析方法，能够条理清晰地选用合理技术措施，符合理论及技术规范，同时能够针对汽车运用新技术提出观点，完成相应理论分析与适用性阐述。</w:t>
      </w:r>
    </w:p>
    <w:p w14:paraId="6D8B7B58">
      <w:pPr>
        <w:widowControl/>
        <w:spacing w:before="156" w:beforeLines="50"/>
        <w:jc w:val="left"/>
        <w:rPr>
          <w:rFonts w:ascii="Times New Roman" w:hAnsi="Times New Roman" w:eastAsia="黑体"/>
          <w:color w:val="000000"/>
          <w:sz w:val="28"/>
          <w:szCs w:val="28"/>
        </w:rPr>
      </w:pPr>
      <w:r>
        <w:rPr>
          <w:rFonts w:hint="eastAsia" w:ascii="Times New Roman" w:hAnsi="Times New Roman" w:eastAsia="黑体"/>
          <w:color w:val="000000"/>
          <w:sz w:val="28"/>
          <w:szCs w:val="28"/>
        </w:rPr>
        <w:t>四、</w:t>
      </w:r>
      <w:r>
        <w:rPr>
          <w:rFonts w:ascii="Times New Roman" w:hAnsi="Times New Roman" w:eastAsia="黑体"/>
          <w:color w:val="000000"/>
          <w:sz w:val="28"/>
          <w:szCs w:val="28"/>
        </w:rPr>
        <w:t>参考书目</w:t>
      </w:r>
    </w:p>
    <w:p w14:paraId="18262B71">
      <w:pPr>
        <w:widowControl/>
        <w:tabs>
          <w:tab w:val="left" w:pos="720"/>
        </w:tabs>
        <w:spacing w:before="93" w:beforeLines="30" w:line="300" w:lineRule="auto"/>
        <w:ind w:firstLine="480" w:firstLineChars="200"/>
        <w:jc w:val="left"/>
        <w:rPr>
          <w:rFonts w:ascii="Times New Roman" w:hAnsi="Times New Roman" w:eastAsia="仿宋_GB2312"/>
          <w:sz w:val="22"/>
        </w:rPr>
      </w:pPr>
      <w:r>
        <w:rPr>
          <w:rFonts w:hint="eastAsia" w:ascii="Times New Roman" w:hAnsi="Times New Roman" w:eastAsia="仿宋"/>
          <w:sz w:val="24"/>
          <w:szCs w:val="24"/>
        </w:rPr>
        <w:t>潘公宇，《汽车运用工程》，人民交通出版社，2019.12.</w:t>
      </w:r>
    </w:p>
    <w:p w14:paraId="0B5D4534">
      <w:pPr>
        <w:widowControl/>
        <w:spacing w:before="93" w:beforeLines="30" w:line="300" w:lineRule="auto"/>
        <w:jc w:val="left"/>
        <w:rPr>
          <w:rFonts w:ascii="Times New Roman" w:hAnsi="Times New Roman" w:eastAsia="仿宋_GB2312"/>
          <w:color w:val="000000"/>
          <w:sz w:val="22"/>
          <w:szCs w:val="28"/>
        </w:rPr>
      </w:pPr>
    </w:p>
    <w:p w14:paraId="6211552C">
      <w:pPr>
        <w:rPr>
          <w:rFonts w:ascii="Times New Roman" w:hAnsi="Times New Roman" w:eastAsia="仿宋_GB2312"/>
          <w:color w:val="000000"/>
          <w:sz w:val="22"/>
          <w:szCs w:val="28"/>
        </w:rPr>
      </w:pPr>
      <w:r>
        <w:rPr>
          <w:rFonts w:hint="eastAsia" w:ascii="Times New Roman" w:hAnsi="Times New Roman" w:eastAsia="仿宋_GB2312"/>
          <w:color w:val="000000"/>
          <w:sz w:val="22"/>
          <w:szCs w:val="28"/>
        </w:rPr>
        <w:t xml:space="preserve"> </w:t>
      </w:r>
      <w:r>
        <w:rPr>
          <w:rFonts w:ascii="Times New Roman" w:hAnsi="Times New Roman" w:eastAsia="仿宋_GB2312"/>
          <w:color w:val="000000"/>
          <w:sz w:val="22"/>
          <w:szCs w:val="28"/>
        </w:rPr>
        <w:t xml:space="preserve">                                                  </w:t>
      </w:r>
    </w:p>
    <w:p w14:paraId="20981C14">
      <w:pPr>
        <w:widowControl/>
        <w:jc w:val="left"/>
        <w:rPr>
          <w:rFonts w:ascii="Times New Roman" w:hAnsi="Times New Roman" w:eastAsia="仿宋_GB2312"/>
          <w:color w:val="000000"/>
          <w:sz w:val="22"/>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52A67"/>
    <w:multiLevelType w:val="multilevel"/>
    <w:tmpl w:val="09052A67"/>
    <w:lvl w:ilvl="0" w:tentative="0">
      <w:start w:val="2"/>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110AD22"/>
    <w:multiLevelType w:val="multilevel"/>
    <w:tmpl w:val="3110AD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643"/>
        </w:tabs>
        <w:ind w:left="643"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F6D"/>
    <w:rsid w:val="00037BDF"/>
    <w:rsid w:val="000B209C"/>
    <w:rsid w:val="000D7DD6"/>
    <w:rsid w:val="0011708A"/>
    <w:rsid w:val="0018610C"/>
    <w:rsid w:val="001A4A7F"/>
    <w:rsid w:val="001F1D45"/>
    <w:rsid w:val="00291BB7"/>
    <w:rsid w:val="003247D1"/>
    <w:rsid w:val="00343CE1"/>
    <w:rsid w:val="00343D84"/>
    <w:rsid w:val="003461CE"/>
    <w:rsid w:val="003B6ADA"/>
    <w:rsid w:val="005430D4"/>
    <w:rsid w:val="0058567D"/>
    <w:rsid w:val="00640D03"/>
    <w:rsid w:val="00711BF5"/>
    <w:rsid w:val="00717F88"/>
    <w:rsid w:val="00742327"/>
    <w:rsid w:val="007442C7"/>
    <w:rsid w:val="007663CD"/>
    <w:rsid w:val="00790F6D"/>
    <w:rsid w:val="007B2780"/>
    <w:rsid w:val="00805FF2"/>
    <w:rsid w:val="008405B9"/>
    <w:rsid w:val="0090713D"/>
    <w:rsid w:val="0093646F"/>
    <w:rsid w:val="00A21142"/>
    <w:rsid w:val="00A26352"/>
    <w:rsid w:val="00A732B9"/>
    <w:rsid w:val="00A95B2A"/>
    <w:rsid w:val="00BF4451"/>
    <w:rsid w:val="00D05901"/>
    <w:rsid w:val="00DA1976"/>
    <w:rsid w:val="00E72E35"/>
    <w:rsid w:val="00EE0560"/>
    <w:rsid w:val="00F06370"/>
    <w:rsid w:val="00F566F9"/>
    <w:rsid w:val="00F724DD"/>
    <w:rsid w:val="00FC0E3A"/>
    <w:rsid w:val="00FE6834"/>
    <w:rsid w:val="00FF1BB3"/>
    <w:rsid w:val="49233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bCs/>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1492</Words>
  <Characters>1517</Characters>
  <Lines>12</Lines>
  <Paragraphs>3</Paragraphs>
  <TotalTime>64</TotalTime>
  <ScaleCrop>false</ScaleCrop>
  <LinksUpToDate>false</LinksUpToDate>
  <CharactersWithSpaces>1696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2026-08-15T03:31:00Z</dcterms:created>
  <dc:creator>DELL</dc:creator>
  <cp:lastModifiedBy>流氓兔</cp:lastModifiedBy>
  <dcterms:modified xsi:type="dcterms:W3CDTF">2026-10-10T03:47:01Z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eyJoZGlkIjoiYzg3ZmVjNjI1MzljOWViMDUxYmU4ZmRkOTcxYzFiYjgiLCJ1c2VySWQiOiIzOTE5NTM5MzQifQ==</vt:lpwstr>
  </property>
  <property fmtid="{D5CDD505-2E9C-101B-9397-08002B2CF9AE}" pid="3" name="KSOProductBuildVer">
    <vt:lpwstr>2052-12.1.0.28488</vt:lpwstr>
  </property>
  <property fmtid="{D5CDD505-2E9C-101B-9397-08002B2CF9AE}" pid="4" name="ICV">
    <vt:lpwstr>AA2E4B7B3A9547E6B8FA69D5729B8F38_12</vt:lpwstr>
  </property>
</Properties>
</file>